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BE" w:rsidRPr="00832AFA" w:rsidRDefault="005D12BE" w:rsidP="005D12BE">
      <w:pPr>
        <w:rPr>
          <w:rFonts w:ascii="Arial" w:hAnsi="Arial" w:cs="Arial"/>
          <w:b/>
        </w:rPr>
      </w:pPr>
      <w:bookmarkStart w:id="0" w:name="_GoBack"/>
      <w:bookmarkEnd w:id="0"/>
      <w:r w:rsidRPr="00832AFA">
        <w:rPr>
          <w:rFonts w:ascii="Arial" w:hAnsi="Arial" w:cs="Arial"/>
          <w:b/>
        </w:rPr>
        <w:t>From September 2012, Regulated Activity for children and young people will be defined as:</w:t>
      </w:r>
    </w:p>
    <w:p w:rsidR="005D12BE" w:rsidRDefault="005D12BE" w:rsidP="005D12BE">
      <w:pPr>
        <w:rPr>
          <w:rFonts w:ascii="Arial" w:hAnsi="Arial" w:cs="Arial"/>
        </w:rPr>
      </w:pPr>
    </w:p>
    <w:p w:rsidR="005D12BE" w:rsidRPr="001E40CC" w:rsidRDefault="005D12BE" w:rsidP="005D12B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5D12BE" w:rsidRPr="001E40CC" w:rsidTr="00384F8B">
        <w:tc>
          <w:tcPr>
            <w:tcW w:w="8856" w:type="dxa"/>
          </w:tcPr>
          <w:p w:rsidR="005D12BE" w:rsidRPr="001E40CC" w:rsidRDefault="005D12BE" w:rsidP="00384F8B">
            <w:pPr>
              <w:rPr>
                <w:rFonts w:ascii="Arial" w:hAnsi="Arial" w:cs="Arial"/>
              </w:rPr>
            </w:pPr>
            <w:r w:rsidRPr="001E40CC">
              <w:rPr>
                <w:rFonts w:ascii="Arial" w:hAnsi="Arial" w:cs="Arial"/>
              </w:rPr>
              <w:t>(a) Unsupervised activities: teaching, training, instructing, caring for or supervising children, or providing advice/guidance on well-being or dr</w:t>
            </w:r>
            <w:r>
              <w:rPr>
                <w:rFonts w:ascii="Arial" w:hAnsi="Arial" w:cs="Arial"/>
              </w:rPr>
              <w:t>iving a vehicle only for children.</w:t>
            </w:r>
          </w:p>
        </w:tc>
      </w:tr>
      <w:tr w:rsidR="005D12BE" w:rsidRPr="001E40CC" w:rsidTr="00384F8B">
        <w:tc>
          <w:tcPr>
            <w:tcW w:w="8856" w:type="dxa"/>
          </w:tcPr>
          <w:p w:rsidR="005D12BE" w:rsidRPr="001E40CC" w:rsidRDefault="005D12BE" w:rsidP="00384F8B">
            <w:pPr>
              <w:rPr>
                <w:rFonts w:ascii="Arial" w:hAnsi="Arial" w:cs="Arial"/>
              </w:rPr>
            </w:pPr>
            <w:r w:rsidRPr="001E40CC">
              <w:rPr>
                <w:rFonts w:ascii="Arial" w:hAnsi="Arial" w:cs="Arial"/>
              </w:rPr>
              <w:t>(b) Working for a limited range of establishments (known as ‘specified places’), with opportunity for contact, e.g. schools, children’s homes, childcare premises (but not work by supervised volunteers)</w:t>
            </w:r>
            <w:r>
              <w:rPr>
                <w:rFonts w:ascii="Arial" w:hAnsi="Arial" w:cs="Arial"/>
              </w:rPr>
              <w:t>.</w:t>
            </w:r>
          </w:p>
        </w:tc>
      </w:tr>
      <w:tr w:rsidR="005D12BE" w:rsidRPr="001E40CC" w:rsidTr="00384F8B">
        <w:tc>
          <w:tcPr>
            <w:tcW w:w="8856" w:type="dxa"/>
          </w:tcPr>
          <w:p w:rsidR="005D12BE" w:rsidRPr="001E40CC" w:rsidRDefault="005D12BE" w:rsidP="00384F8B">
            <w:pPr>
              <w:pStyle w:val="NormalWeb"/>
              <w:spacing w:after="0" w:afterAutospacing="0"/>
              <w:rPr>
                <w:rFonts w:ascii="Arial" w:hAnsi="Arial" w:cs="Arial"/>
                <w:sz w:val="22"/>
                <w:szCs w:val="22"/>
              </w:rPr>
            </w:pPr>
            <w:r w:rsidRPr="00F62BA1">
              <w:rPr>
                <w:rFonts w:ascii="Arial" w:hAnsi="Arial" w:cs="Arial"/>
                <w:i/>
                <w:sz w:val="22"/>
                <w:szCs w:val="22"/>
              </w:rPr>
              <w:t xml:space="preserve">Work in (a) and (b) above still has to be carried out </w:t>
            </w:r>
            <w:r>
              <w:rPr>
                <w:rFonts w:ascii="Arial" w:hAnsi="Arial" w:cs="Arial"/>
                <w:i/>
                <w:sz w:val="22"/>
                <w:szCs w:val="22"/>
              </w:rPr>
              <w:t xml:space="preserve">on a regular basis. </w:t>
            </w:r>
            <w:r w:rsidRPr="00F62BA1">
              <w:rPr>
                <w:rFonts w:ascii="Arial" w:hAnsi="Arial" w:cs="Arial"/>
                <w:i/>
                <w:sz w:val="22"/>
                <w:szCs w:val="22"/>
              </w:rPr>
              <w:t>The current definitions have not changed:</w:t>
            </w:r>
            <w:r>
              <w:rPr>
                <w:rFonts w:ascii="Arial" w:hAnsi="Arial" w:cs="Arial"/>
                <w:i/>
                <w:sz w:val="22"/>
                <w:szCs w:val="22"/>
              </w:rPr>
              <w:br/>
            </w:r>
            <w:r w:rsidRPr="00F62BA1">
              <w:rPr>
                <w:rFonts w:ascii="Arial" w:hAnsi="Arial" w:cs="Arial"/>
                <w:i/>
                <w:sz w:val="22"/>
                <w:szCs w:val="22"/>
              </w:rPr>
              <w:t xml:space="preserve"> Frequently - </w:t>
            </w:r>
            <w:r>
              <w:rPr>
                <w:rFonts w:ascii="Arial" w:hAnsi="Arial" w:cs="Arial"/>
                <w:i/>
                <w:sz w:val="22"/>
                <w:szCs w:val="22"/>
              </w:rPr>
              <w:t xml:space="preserve">at least </w:t>
            </w:r>
            <w:r w:rsidRPr="00F62BA1">
              <w:rPr>
                <w:rFonts w:ascii="Arial" w:hAnsi="Arial" w:cs="Arial"/>
                <w:i/>
                <w:sz w:val="22"/>
                <w:szCs w:val="22"/>
              </w:rPr>
              <w:t>once a week</w:t>
            </w:r>
            <w:r>
              <w:rPr>
                <w:rFonts w:ascii="Arial" w:hAnsi="Arial" w:cs="Arial"/>
                <w:i/>
                <w:sz w:val="22"/>
                <w:szCs w:val="22"/>
              </w:rPr>
              <w:br/>
            </w:r>
            <w:r w:rsidRPr="00F62BA1">
              <w:rPr>
                <w:rFonts w:ascii="Arial" w:hAnsi="Arial" w:cs="Arial"/>
                <w:i/>
                <w:sz w:val="22"/>
                <w:szCs w:val="22"/>
              </w:rPr>
              <w:t xml:space="preserve"> Intensively - 4 days in a 30 day period</w:t>
            </w:r>
            <w:r>
              <w:rPr>
                <w:rFonts w:ascii="Arial" w:hAnsi="Arial" w:cs="Arial"/>
                <w:i/>
                <w:sz w:val="22"/>
                <w:szCs w:val="22"/>
              </w:rPr>
              <w:br/>
            </w:r>
            <w:r w:rsidRPr="00F62BA1">
              <w:rPr>
                <w:rFonts w:ascii="Arial" w:hAnsi="Arial" w:cs="Arial"/>
                <w:i/>
                <w:sz w:val="22"/>
                <w:szCs w:val="22"/>
              </w:rPr>
              <w:t>Overnight - between the hours of 2am and 6am.</w:t>
            </w:r>
            <w:r w:rsidRPr="001E40CC">
              <w:rPr>
                <w:rFonts w:ascii="Arial" w:hAnsi="Arial" w:cs="Arial"/>
                <w:sz w:val="22"/>
                <w:szCs w:val="22"/>
              </w:rPr>
              <w:t xml:space="preserve">  </w:t>
            </w:r>
            <w:r>
              <w:rPr>
                <w:rFonts w:ascii="Arial" w:hAnsi="Arial" w:cs="Arial"/>
                <w:sz w:val="22"/>
                <w:szCs w:val="22"/>
              </w:rPr>
              <w:br/>
            </w:r>
          </w:p>
        </w:tc>
      </w:tr>
      <w:tr w:rsidR="005D12BE" w:rsidRPr="001E40CC" w:rsidTr="00384F8B">
        <w:tc>
          <w:tcPr>
            <w:tcW w:w="8856" w:type="dxa"/>
          </w:tcPr>
          <w:p w:rsidR="005D12BE" w:rsidRPr="001E40CC" w:rsidRDefault="005D12BE" w:rsidP="00384F8B">
            <w:pPr>
              <w:pStyle w:val="NormalWeb"/>
              <w:rPr>
                <w:rFonts w:ascii="Arial" w:hAnsi="Arial" w:cs="Arial"/>
                <w:sz w:val="22"/>
                <w:szCs w:val="22"/>
              </w:rPr>
            </w:pPr>
            <w:r w:rsidRPr="001E40CC">
              <w:rPr>
                <w:rFonts w:ascii="Arial" w:hAnsi="Arial" w:cs="Arial"/>
                <w:sz w:val="22"/>
                <w:szCs w:val="22"/>
              </w:rPr>
              <w:t>(c) Relevant personal care, e.g. washing or dressing; or health care by or supervised by a professional, even if done once</w:t>
            </w:r>
            <w:r>
              <w:rPr>
                <w:rFonts w:ascii="Arial" w:hAnsi="Arial" w:cs="Arial"/>
                <w:sz w:val="22"/>
                <w:szCs w:val="22"/>
              </w:rPr>
              <w:t>.</w:t>
            </w:r>
            <w:r>
              <w:rPr>
                <w:rFonts w:ascii="Arial" w:hAnsi="Arial" w:cs="Arial"/>
                <w:sz w:val="22"/>
                <w:szCs w:val="22"/>
              </w:rPr>
              <w:br/>
            </w:r>
          </w:p>
        </w:tc>
      </w:tr>
      <w:tr w:rsidR="005D12BE" w:rsidRPr="001E40CC" w:rsidTr="00384F8B">
        <w:tc>
          <w:tcPr>
            <w:tcW w:w="8856" w:type="dxa"/>
          </w:tcPr>
          <w:p w:rsidR="005D12BE" w:rsidRPr="001E40CC" w:rsidRDefault="005D12BE" w:rsidP="00384F8B">
            <w:pPr>
              <w:pStyle w:val="NormalWeb"/>
              <w:rPr>
                <w:rFonts w:ascii="Arial" w:hAnsi="Arial" w:cs="Arial"/>
                <w:sz w:val="22"/>
                <w:szCs w:val="22"/>
              </w:rPr>
            </w:pPr>
            <w:r w:rsidRPr="001E40CC">
              <w:rPr>
                <w:rFonts w:ascii="Arial" w:hAnsi="Arial" w:cs="Arial"/>
                <w:sz w:val="22"/>
                <w:szCs w:val="22"/>
              </w:rPr>
              <w:t>(d) Registered child-minding and foster carers.</w:t>
            </w:r>
            <w:r>
              <w:rPr>
                <w:rFonts w:ascii="Arial" w:hAnsi="Arial" w:cs="Arial"/>
                <w:sz w:val="22"/>
                <w:szCs w:val="22"/>
              </w:rPr>
              <w:br/>
            </w:r>
          </w:p>
        </w:tc>
      </w:tr>
    </w:tbl>
    <w:p w:rsidR="005D12BE" w:rsidRPr="001E40CC" w:rsidRDefault="005D12BE" w:rsidP="005D12BE">
      <w:pPr>
        <w:rPr>
          <w:rFonts w:ascii="Arial" w:hAnsi="Arial" w:cs="Arial"/>
        </w:rPr>
      </w:pPr>
    </w:p>
    <w:p w:rsidR="005D12BE" w:rsidRDefault="005D12BE" w:rsidP="005D12BE">
      <w:pPr>
        <w:rPr>
          <w:rFonts w:ascii="Arial" w:hAnsi="Arial" w:cs="Arial"/>
        </w:rPr>
      </w:pPr>
    </w:p>
    <w:p w:rsidR="005D12BE" w:rsidRDefault="005D12BE" w:rsidP="005D12BE">
      <w:pPr>
        <w:rPr>
          <w:rFonts w:ascii="Arial" w:hAnsi="Arial" w:cs="Arial"/>
          <w:b/>
        </w:rPr>
      </w:pPr>
      <w:r w:rsidRPr="001E40CC">
        <w:rPr>
          <w:rFonts w:ascii="Arial" w:hAnsi="Arial" w:cs="Arial"/>
          <w:b/>
        </w:rPr>
        <w:t>Regulated Activity with Vulnerable Adults</w:t>
      </w:r>
    </w:p>
    <w:p w:rsidR="005D12BE" w:rsidRPr="001E40CC" w:rsidRDefault="005D12BE" w:rsidP="005D12BE">
      <w:pPr>
        <w:rPr>
          <w:rFonts w:ascii="Arial" w:hAnsi="Arial" w:cs="Arial"/>
          <w:b/>
        </w:rPr>
      </w:pPr>
    </w:p>
    <w:p w:rsidR="005D12BE" w:rsidRDefault="005D12BE" w:rsidP="005D12BE">
      <w:pPr>
        <w:rPr>
          <w:rFonts w:ascii="Arial" w:hAnsi="Arial" w:cs="Arial"/>
        </w:rPr>
      </w:pPr>
      <w:r w:rsidRPr="001E40CC">
        <w:rPr>
          <w:rFonts w:ascii="Arial" w:hAnsi="Arial" w:cs="Arial"/>
        </w:rPr>
        <w:t>The 2012 Act changes the definition of vulnerable adult</w:t>
      </w:r>
      <w:r>
        <w:rPr>
          <w:rFonts w:ascii="Arial" w:hAnsi="Arial" w:cs="Arial"/>
        </w:rPr>
        <w:t xml:space="preserve"> to focus on activities rather than characteristics</w:t>
      </w:r>
      <w:r w:rsidRPr="001E40CC">
        <w:rPr>
          <w:rFonts w:ascii="Arial" w:hAnsi="Arial" w:cs="Arial"/>
        </w:rPr>
        <w:t xml:space="preserve">. </w:t>
      </w:r>
    </w:p>
    <w:p w:rsidR="005D12BE" w:rsidRPr="001E40CC" w:rsidRDefault="005D12BE" w:rsidP="005D12BE">
      <w:pPr>
        <w:rPr>
          <w:rFonts w:ascii="Arial" w:hAnsi="Arial" w:cs="Arial"/>
        </w:rPr>
      </w:pPr>
    </w:p>
    <w:p w:rsidR="005D12BE" w:rsidRPr="005D12BE" w:rsidRDefault="005D12BE" w:rsidP="005D12BE">
      <w:pPr>
        <w:rPr>
          <w:rFonts w:ascii="Arial" w:hAnsi="Arial" w:cs="Arial"/>
          <w:i/>
        </w:rPr>
      </w:pPr>
      <w:r w:rsidRPr="009A0B4F">
        <w:rPr>
          <w:rFonts w:ascii="Arial" w:hAnsi="Arial" w:cs="Arial"/>
        </w:rPr>
        <w:t xml:space="preserve">The focus is on the activities required by the adult and not on the setting in which the activity is received, nor on the personal characteristics or circumstances of the adult receiving the activities.  There is also no longer a requirement for a person to do the activities a certain number of times before they are engaging in Regulated Activity’ </w:t>
      </w:r>
      <w:r w:rsidRPr="009A0B4F">
        <w:rPr>
          <w:rFonts w:ascii="Arial" w:hAnsi="Arial" w:cs="Arial"/>
          <w:i/>
        </w:rPr>
        <w:t>(Changes to disclosure and barring: What you need t</w:t>
      </w:r>
      <w:r>
        <w:rPr>
          <w:rFonts w:ascii="Arial" w:hAnsi="Arial" w:cs="Arial"/>
          <w:i/>
        </w:rPr>
        <w:t>o know – HM Government (2012)).</w:t>
      </w:r>
    </w:p>
    <w:p w:rsidR="005D12BE" w:rsidRDefault="005D12BE" w:rsidP="005D12BE">
      <w:pPr>
        <w:rPr>
          <w:rFonts w:ascii="Arial" w:hAnsi="Arial" w:cs="Arial"/>
        </w:rPr>
      </w:pPr>
    </w:p>
    <w:p w:rsidR="005D12BE" w:rsidRPr="009A0B4F" w:rsidRDefault="005D12BE" w:rsidP="005D12BE">
      <w:pPr>
        <w:rPr>
          <w:rFonts w:ascii="Arial" w:hAnsi="Arial" w:cs="Arial"/>
        </w:rPr>
      </w:pPr>
      <w:r w:rsidRPr="009A0B4F">
        <w:rPr>
          <w:rFonts w:ascii="Arial" w:hAnsi="Arial" w:cs="Arial"/>
        </w:rPr>
        <w:t xml:space="preserve">There are broadly 6 activities listed: </w:t>
      </w:r>
      <w:r w:rsidRPr="009A0B4F">
        <w:rPr>
          <w:rFonts w:ascii="Arial" w:hAnsi="Arial" w:cs="Arial"/>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5D12BE" w:rsidRPr="00FD2564" w:rsidTr="00384F8B">
        <w:tc>
          <w:tcPr>
            <w:tcW w:w="8748" w:type="dxa"/>
          </w:tcPr>
          <w:p w:rsidR="005D12BE" w:rsidRPr="00FD2564" w:rsidRDefault="005D12BE" w:rsidP="00384F8B">
            <w:pPr>
              <w:widowControl/>
              <w:numPr>
                <w:ilvl w:val="0"/>
                <w:numId w:val="1"/>
              </w:numPr>
              <w:autoSpaceDE/>
              <w:autoSpaceDN/>
              <w:adjustRightInd/>
              <w:rPr>
                <w:rFonts w:ascii="Arial" w:hAnsi="Arial" w:cs="Arial"/>
              </w:rPr>
            </w:pPr>
            <w:r w:rsidRPr="00FD2564">
              <w:rPr>
                <w:rFonts w:ascii="Arial" w:hAnsi="Arial" w:cs="Arial"/>
              </w:rPr>
              <w:t>The provision of health care by a health care professional, or by a person acting under the direction or supervision of a health care professional (such as a health care assistant in a hospital or care home);</w:t>
            </w:r>
            <w:r w:rsidRPr="00FD2564">
              <w:rPr>
                <w:rFonts w:ascii="Arial" w:hAnsi="Arial" w:cs="Arial"/>
              </w:rPr>
              <w:br/>
            </w:r>
          </w:p>
        </w:tc>
      </w:tr>
      <w:tr w:rsidR="005D12BE" w:rsidRPr="00FD2564" w:rsidTr="00384F8B">
        <w:tc>
          <w:tcPr>
            <w:tcW w:w="8748" w:type="dxa"/>
          </w:tcPr>
          <w:p w:rsidR="005D12BE" w:rsidRPr="00FD2564" w:rsidRDefault="005D12BE" w:rsidP="00384F8B">
            <w:pPr>
              <w:widowControl/>
              <w:numPr>
                <w:ilvl w:val="0"/>
                <w:numId w:val="1"/>
              </w:numPr>
              <w:autoSpaceDE/>
              <w:autoSpaceDN/>
              <w:adjustRightInd/>
              <w:rPr>
                <w:rFonts w:ascii="Arial" w:hAnsi="Arial" w:cs="Arial"/>
              </w:rPr>
            </w:pPr>
            <w:r w:rsidRPr="00FD2564">
              <w:rPr>
                <w:rFonts w:ascii="Arial" w:hAnsi="Arial" w:cs="Arial"/>
              </w:rPr>
              <w:t>The provision of relevant personal care (such as washing, dressing, toileting, eating and drinking);</w:t>
            </w:r>
            <w:r w:rsidRPr="00FD2564">
              <w:rPr>
                <w:rFonts w:ascii="Arial" w:hAnsi="Arial" w:cs="Arial"/>
              </w:rPr>
              <w:br/>
            </w:r>
          </w:p>
        </w:tc>
      </w:tr>
      <w:tr w:rsidR="005D12BE" w:rsidRPr="00FD2564" w:rsidTr="00384F8B">
        <w:tc>
          <w:tcPr>
            <w:tcW w:w="8748" w:type="dxa"/>
          </w:tcPr>
          <w:p w:rsidR="005D12BE" w:rsidRPr="00FD2564" w:rsidRDefault="005D12BE" w:rsidP="00384F8B">
            <w:pPr>
              <w:widowControl/>
              <w:numPr>
                <w:ilvl w:val="0"/>
                <w:numId w:val="1"/>
              </w:numPr>
              <w:autoSpaceDE/>
              <w:autoSpaceDN/>
              <w:adjustRightInd/>
              <w:rPr>
                <w:rFonts w:ascii="Arial" w:hAnsi="Arial" w:cs="Arial"/>
              </w:rPr>
            </w:pPr>
            <w:r w:rsidRPr="00FD2564">
              <w:rPr>
                <w:rFonts w:ascii="Arial" w:hAnsi="Arial" w:cs="Arial"/>
              </w:rPr>
              <w:t>The provision of social work or community care services by social workers to adults who are clients or potential clients;</w:t>
            </w:r>
            <w:r w:rsidRPr="00FD2564">
              <w:rPr>
                <w:rFonts w:ascii="Arial" w:hAnsi="Arial" w:cs="Arial"/>
              </w:rPr>
              <w:br/>
            </w:r>
          </w:p>
        </w:tc>
      </w:tr>
      <w:tr w:rsidR="005D12BE" w:rsidRPr="00FD2564" w:rsidTr="00384F8B">
        <w:tc>
          <w:tcPr>
            <w:tcW w:w="8748" w:type="dxa"/>
          </w:tcPr>
          <w:p w:rsidR="005D12BE" w:rsidRPr="00FD2564" w:rsidRDefault="005D12BE" w:rsidP="00384F8B">
            <w:pPr>
              <w:widowControl/>
              <w:numPr>
                <w:ilvl w:val="0"/>
                <w:numId w:val="1"/>
              </w:numPr>
              <w:autoSpaceDE/>
              <w:autoSpaceDN/>
              <w:adjustRightInd/>
              <w:rPr>
                <w:rFonts w:ascii="Arial" w:hAnsi="Arial" w:cs="Arial"/>
              </w:rPr>
            </w:pPr>
            <w:r w:rsidRPr="00FD2564">
              <w:rPr>
                <w:rFonts w:ascii="Arial" w:hAnsi="Arial" w:cs="Arial"/>
              </w:rPr>
              <w:t>The provision of assistance in relation to general household matters for an adult who needs that assistance because of age, illness or disability, (e.g. managing a person’s cash, paying bills or shopping for someone);</w:t>
            </w:r>
            <w:r w:rsidRPr="00FD2564">
              <w:rPr>
                <w:rFonts w:ascii="Arial" w:hAnsi="Arial" w:cs="Arial"/>
              </w:rPr>
              <w:br/>
            </w:r>
          </w:p>
        </w:tc>
      </w:tr>
      <w:tr w:rsidR="005D12BE" w:rsidRPr="00FD2564" w:rsidTr="00384F8B">
        <w:tc>
          <w:tcPr>
            <w:tcW w:w="8748" w:type="dxa"/>
          </w:tcPr>
          <w:p w:rsidR="005D12BE" w:rsidRPr="00FD2564" w:rsidRDefault="005D12BE" w:rsidP="00384F8B">
            <w:pPr>
              <w:widowControl/>
              <w:numPr>
                <w:ilvl w:val="0"/>
                <w:numId w:val="1"/>
              </w:numPr>
              <w:autoSpaceDE/>
              <w:autoSpaceDN/>
              <w:adjustRightInd/>
              <w:rPr>
                <w:rFonts w:ascii="Arial" w:hAnsi="Arial" w:cs="Arial"/>
              </w:rPr>
            </w:pPr>
            <w:r w:rsidRPr="00FD2564">
              <w:rPr>
                <w:rFonts w:ascii="Arial" w:hAnsi="Arial" w:cs="Arial"/>
              </w:rPr>
              <w:lastRenderedPageBreak/>
              <w:t>Any relevant assistance in the conduct of an adult’s own affairs, (e.g. under an enduring power of attorney);</w:t>
            </w:r>
            <w:r w:rsidRPr="00FD2564">
              <w:rPr>
                <w:rFonts w:ascii="Arial" w:hAnsi="Arial" w:cs="Arial"/>
              </w:rPr>
              <w:br/>
            </w:r>
          </w:p>
        </w:tc>
      </w:tr>
      <w:tr w:rsidR="005D12BE" w:rsidRPr="00FD2564" w:rsidTr="00384F8B">
        <w:tc>
          <w:tcPr>
            <w:tcW w:w="8748" w:type="dxa"/>
          </w:tcPr>
          <w:p w:rsidR="005D12BE" w:rsidRPr="00FD2564" w:rsidRDefault="005D12BE" w:rsidP="00384F8B">
            <w:pPr>
              <w:widowControl/>
              <w:numPr>
                <w:ilvl w:val="0"/>
                <w:numId w:val="1"/>
              </w:numPr>
              <w:autoSpaceDE/>
              <w:autoSpaceDN/>
              <w:adjustRightInd/>
              <w:rPr>
                <w:rFonts w:ascii="Arial" w:hAnsi="Arial" w:cs="Arial"/>
              </w:rPr>
            </w:pPr>
            <w:r w:rsidRPr="00FD2564">
              <w:rPr>
                <w:rFonts w:ascii="Arial" w:hAnsi="Arial" w:cs="Arial"/>
              </w:rPr>
              <w:t>Transportation in certain circumstances which is needed because of age, illness or disability, although the Government has pointed out that this will not include family and friends or taxi drivers.</w:t>
            </w:r>
            <w:r w:rsidRPr="00FD2564">
              <w:rPr>
                <w:rFonts w:ascii="Arial" w:hAnsi="Arial" w:cs="Arial"/>
              </w:rPr>
              <w:br/>
            </w:r>
          </w:p>
        </w:tc>
      </w:tr>
    </w:tbl>
    <w:p w:rsidR="005D12BE" w:rsidRDefault="005D12BE" w:rsidP="005D12BE">
      <w:pPr>
        <w:rPr>
          <w:rFonts w:ascii="Arial" w:hAnsi="Arial" w:cs="Arial"/>
        </w:rPr>
      </w:pPr>
    </w:p>
    <w:p w:rsidR="005D12BE" w:rsidRDefault="005D12BE" w:rsidP="005D12BE">
      <w:pPr>
        <w:rPr>
          <w:rFonts w:ascii="Arial" w:hAnsi="Arial" w:cs="Arial"/>
        </w:rPr>
      </w:pPr>
    </w:p>
    <w:p w:rsidR="005D12BE" w:rsidRDefault="005D12BE" w:rsidP="005D12BE">
      <w:pPr>
        <w:rPr>
          <w:rFonts w:ascii="Arial" w:hAnsi="Arial" w:cs="Arial"/>
          <w:b/>
          <w:u w:val="single"/>
        </w:rPr>
      </w:pPr>
      <w:r w:rsidRPr="001E40CC">
        <w:rPr>
          <w:rFonts w:ascii="Arial" w:hAnsi="Arial" w:cs="Arial"/>
          <w:b/>
          <w:u w:val="single"/>
        </w:rPr>
        <w:t>Regulated Activity and Barring</w:t>
      </w:r>
    </w:p>
    <w:p w:rsidR="005D12BE" w:rsidRPr="001E40CC" w:rsidRDefault="005D12BE" w:rsidP="005D12BE">
      <w:pPr>
        <w:rPr>
          <w:rFonts w:ascii="Arial" w:hAnsi="Arial" w:cs="Arial"/>
        </w:rPr>
      </w:pPr>
    </w:p>
    <w:p w:rsidR="005D12BE" w:rsidRPr="001E40CC" w:rsidRDefault="005D12BE" w:rsidP="005D12BE">
      <w:pPr>
        <w:rPr>
          <w:rFonts w:ascii="Arial" w:hAnsi="Arial" w:cs="Arial"/>
        </w:rPr>
      </w:pPr>
      <w:r w:rsidRPr="001E40CC">
        <w:rPr>
          <w:rFonts w:ascii="Arial" w:hAnsi="Arial" w:cs="Arial"/>
        </w:rPr>
        <w:t xml:space="preserve">Barring has previously been the responsibility of the ISA (Independent Safeguarding Authority). From 1 December 2012, the ISA will merge with the CRB to become the </w:t>
      </w:r>
      <w:r>
        <w:rPr>
          <w:rFonts w:ascii="Arial" w:hAnsi="Arial" w:cs="Arial"/>
        </w:rPr>
        <w:t xml:space="preserve">Disclosure and Barring Service </w:t>
      </w:r>
      <w:r w:rsidRPr="001E40CC">
        <w:rPr>
          <w:rFonts w:ascii="Arial" w:hAnsi="Arial" w:cs="Arial"/>
        </w:rPr>
        <w:t>(the ‘DBS’).</w:t>
      </w:r>
    </w:p>
    <w:p w:rsidR="005D12BE" w:rsidRPr="001E40CC" w:rsidRDefault="005D12BE" w:rsidP="005D12BE">
      <w:pPr>
        <w:rPr>
          <w:rFonts w:ascii="Arial" w:hAnsi="Arial" w:cs="Arial"/>
        </w:rPr>
      </w:pPr>
      <w:r w:rsidRPr="001E40CC">
        <w:rPr>
          <w:rFonts w:ascii="Arial" w:hAnsi="Arial" w:cs="Arial"/>
        </w:rPr>
        <w:t xml:space="preserve">The </w:t>
      </w:r>
      <w:r>
        <w:rPr>
          <w:rFonts w:ascii="Arial" w:hAnsi="Arial" w:cs="Arial"/>
        </w:rPr>
        <w:t xml:space="preserve">Protection of Freedoms </w:t>
      </w:r>
      <w:r w:rsidRPr="001E40CC">
        <w:rPr>
          <w:rFonts w:ascii="Arial" w:hAnsi="Arial" w:cs="Arial"/>
        </w:rPr>
        <w:t>Act 2012 changes</w:t>
      </w:r>
      <w:r>
        <w:rPr>
          <w:rFonts w:ascii="Arial" w:hAnsi="Arial" w:cs="Arial"/>
        </w:rPr>
        <w:t xml:space="preserve"> now </w:t>
      </w:r>
      <w:r w:rsidRPr="001E40CC">
        <w:rPr>
          <w:rFonts w:ascii="Arial" w:hAnsi="Arial" w:cs="Arial"/>
        </w:rPr>
        <w:t xml:space="preserve">mean that a person will </w:t>
      </w:r>
      <w:r w:rsidRPr="001E40CC">
        <w:rPr>
          <w:rFonts w:ascii="Arial" w:hAnsi="Arial" w:cs="Arial"/>
          <w:b/>
        </w:rPr>
        <w:t>only</w:t>
      </w:r>
      <w:r w:rsidRPr="001E40CC">
        <w:rPr>
          <w:rFonts w:ascii="Arial" w:hAnsi="Arial" w:cs="Arial"/>
        </w:rPr>
        <w:t xml:space="preserve"> be barred from Regulated Activity with children (and / or vulnerable adults) not </w:t>
      </w:r>
      <w:r w:rsidRPr="00FD2564">
        <w:rPr>
          <w:rFonts w:ascii="Arial" w:hAnsi="Arial" w:cs="Arial"/>
          <w:b/>
        </w:rPr>
        <w:t>all</w:t>
      </w:r>
      <w:r w:rsidRPr="001E40CC">
        <w:rPr>
          <w:rFonts w:ascii="Arial" w:hAnsi="Arial" w:cs="Arial"/>
        </w:rPr>
        <w:t xml:space="preserve"> work with children. </w:t>
      </w:r>
    </w:p>
    <w:p w:rsidR="005D12BE" w:rsidRDefault="005D12BE" w:rsidP="005D12BE">
      <w:pPr>
        <w:rPr>
          <w:rFonts w:ascii="Arial" w:hAnsi="Arial" w:cs="Arial"/>
        </w:rPr>
      </w:pPr>
      <w:r w:rsidRPr="001E40CC">
        <w:rPr>
          <w:rFonts w:ascii="Arial" w:hAnsi="Arial" w:cs="Arial"/>
        </w:rPr>
        <w:t xml:space="preserve">The changes also mean that </w:t>
      </w:r>
      <w:r>
        <w:rPr>
          <w:rFonts w:ascii="Arial" w:hAnsi="Arial" w:cs="Arial"/>
        </w:rPr>
        <w:t xml:space="preserve">(with one exception) </w:t>
      </w:r>
      <w:r w:rsidRPr="001E40CC">
        <w:rPr>
          <w:rFonts w:ascii="Arial" w:hAnsi="Arial" w:cs="Arial"/>
        </w:rPr>
        <w:t>a person will only be barred where there is evidence that the relevant individual is, has been or might in the future be engaged in Regulated Activity</w:t>
      </w:r>
      <w:r>
        <w:rPr>
          <w:rFonts w:ascii="Arial" w:hAnsi="Arial" w:cs="Arial"/>
        </w:rPr>
        <w:t>.</w:t>
      </w:r>
    </w:p>
    <w:p w:rsidR="00831192" w:rsidRDefault="00961C6D"/>
    <w:sectPr w:rsidR="00831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4547F"/>
    <w:multiLevelType w:val="hybridMultilevel"/>
    <w:tmpl w:val="84A8AB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BE"/>
    <w:rsid w:val="002C674C"/>
    <w:rsid w:val="004072A4"/>
    <w:rsid w:val="005D12BE"/>
    <w:rsid w:val="00961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B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D12BE"/>
    <w:pPr>
      <w:widowControl/>
      <w:autoSpaceDE/>
      <w:autoSpaceDN/>
      <w:adjustRightInd/>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2BE"/>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D12BE"/>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Hodgkins</dc:creator>
  <cp:lastModifiedBy>Kim Hodgkins</cp:lastModifiedBy>
  <cp:revision>2</cp:revision>
  <dcterms:created xsi:type="dcterms:W3CDTF">2014-05-07T09:19:00Z</dcterms:created>
  <dcterms:modified xsi:type="dcterms:W3CDTF">2014-05-07T09:19:00Z</dcterms:modified>
</cp:coreProperties>
</file>